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封面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color w:val="FF0000"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华文行楷" w:hAnsi="微软雅黑" w:eastAsia="华文行楷"/>
          <w:bCs/>
          <w:color w:val="FF0000"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color w:val="FF0000"/>
          <w:sz w:val="28"/>
          <w:szCs w:val="28"/>
          <w:u w:val="none"/>
        </w:rPr>
        <w:t>小记者·大课堂活动从“心”出发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落实教育部精</w:t>
      </w:r>
      <w:bookmarkStart w:id="0" w:name="_GoBack"/>
      <w:bookmarkEnd w:id="0"/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神，让学习回归生活情境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以解决成长需要为题，综合学科知识为径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不忘“小记者初衷”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方能“童眼看天下，稚笔写未来”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新华重庆小记者综合实践活动手册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sz w:val="44"/>
          <w:szCs w:val="44"/>
          <w:u w:val="single"/>
        </w:rPr>
      </w:pPr>
      <w:r>
        <w:rPr>
          <w:rFonts w:hint="eastAsia" w:ascii="微软雅黑" w:hAnsi="微软雅黑" w:eastAsia="微软雅黑"/>
          <w:b/>
          <w:bCs w:val="0"/>
          <w:sz w:val="44"/>
          <w:szCs w:val="44"/>
          <w:u w:val="single"/>
        </w:rPr>
        <w:t>本期主题：舌尖渝之味·火锅最“德”行</w:t>
      </w:r>
    </w:p>
    <w:p>
      <w:pPr>
        <w:spacing w:line="360" w:lineRule="auto"/>
        <w:jc w:val="center"/>
        <w:rPr>
          <w:rFonts w:ascii="微软雅黑" w:hAnsi="微软雅黑" w:eastAsia="微软雅黑"/>
          <w:bCs/>
          <w:sz w:val="44"/>
          <w:szCs w:val="44"/>
          <w:u w:val="single"/>
        </w:rPr>
      </w:pPr>
      <w:r>
        <w:rPr>
          <w:rFonts w:hint="eastAsia" w:ascii="微软雅黑" w:hAnsi="微软雅黑" w:eastAsia="微软雅黑"/>
          <w:b/>
          <w:bCs w:val="0"/>
          <w:sz w:val="44"/>
          <w:szCs w:val="44"/>
          <w:u w:val="single"/>
        </w:rPr>
        <w:t>走进德庄火锅做小小美食科学家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姓名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班级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学校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tbl>
      <w:tblPr>
        <w:tblStyle w:val="5"/>
        <w:tblW w:w="8366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4154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6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91" w:hanging="329" w:hangingChars="91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eastAsia="zh-CN"/>
              </w:rPr>
              <w:t>活动流程一览表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时间及地点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91" w:hanging="218" w:hangingChars="91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8：30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市人大广场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1、小记者到达指定地点签到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2、小记者领取活动说明并上车等候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未佩戴采访证的小记者在带队老师处领取临时采访证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9:30-9:40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重庆德庄实业有限公司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、德庄活动工作人员欢迎小记者</w:t>
            </w:r>
          </w:p>
          <w:p>
            <w:pPr>
              <w:keepNext w:val="0"/>
              <w:keepLines w:val="0"/>
              <w:pageBreakBefore w:val="0"/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、工作人员讲解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参观的安全注意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事项</w:t>
            </w:r>
          </w:p>
          <w:p>
            <w:pPr>
              <w:keepNext w:val="0"/>
              <w:keepLines w:val="0"/>
              <w:pageBreakBefore w:val="0"/>
              <w:tabs>
                <w:tab w:val="left" w:pos="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合影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如需前往洗手间，第一时间举手告知带队老师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2、进入实践基地后不得随意跑动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9:40-9:50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公司展厅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参观公司展厅，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了解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公司大致情况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1、认真记录重要信息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2、随时补充实践手册内容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9</w:t>
            </w:r>
            <w:r>
              <w:rPr>
                <w:rFonts w:ascii="宋体"/>
                <w:sz w:val="24"/>
                <w:szCs w:val="24"/>
              </w:rPr>
              <w:t>:</w:t>
            </w:r>
            <w:r>
              <w:rPr>
                <w:rFonts w:hint="eastAsia" w:ascii="宋体"/>
                <w:sz w:val="24"/>
                <w:szCs w:val="24"/>
              </w:rPr>
              <w:t>50</w:t>
            </w:r>
            <w:r>
              <w:rPr>
                <w:rFonts w:ascii="宋体"/>
                <w:sz w:val="24"/>
                <w:szCs w:val="24"/>
              </w:rPr>
              <w:t>-</w:t>
            </w:r>
            <w:r>
              <w:rPr>
                <w:rFonts w:hint="eastAsia" w:ascii="宋体"/>
                <w:sz w:val="24"/>
                <w:szCs w:val="24"/>
              </w:rPr>
              <w:t>10</w:t>
            </w:r>
            <w:r>
              <w:rPr>
                <w:rFonts w:ascii="宋体"/>
                <w:sz w:val="24"/>
                <w:szCs w:val="24"/>
              </w:rPr>
              <w:t>:</w:t>
            </w:r>
            <w:r>
              <w:rPr>
                <w:rFonts w:hint="eastAsia" w:ascii="宋体"/>
                <w:sz w:val="24"/>
                <w:szCs w:val="24"/>
              </w:rPr>
              <w:t>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生产车间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/>
                <w:sz w:val="24"/>
                <w:szCs w:val="24"/>
              </w:rPr>
              <w:t>参观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了解</w:t>
            </w:r>
            <w:r>
              <w:rPr>
                <w:rFonts w:hint="eastAsia" w:ascii="宋体"/>
                <w:sz w:val="24"/>
                <w:szCs w:val="24"/>
              </w:rPr>
              <w:t>生产流水线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/>
                <w:sz w:val="24"/>
                <w:szCs w:val="24"/>
              </w:rPr>
              <w:t>过程中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小记者可向</w:t>
            </w:r>
            <w:r>
              <w:rPr>
                <w:rFonts w:hint="eastAsia" w:ascii="宋体"/>
                <w:sz w:val="24"/>
                <w:szCs w:val="24"/>
              </w:rPr>
              <w:t>讲解人员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提问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提问时有礼貌、思路清晰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公司展厅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参观大火锅展厅及其他文物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了解公司产品及李氏辣度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避免使用手触摸火锅原料等现场物品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-10:40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观看企业宣传视频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采访德庄火锅负责人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10:40-11:00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德庄火锅知识有奖问答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会议室</w:t>
            </w: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组委会带队老师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指导下完成《综合实践手册》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11: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20-12：00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德庄火锅门店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品尝李氏辣度锅底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2、午餐时间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3、活动结束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新华重庆小记者综合实践课程实施背景</w:t>
      </w:r>
    </w:p>
    <w:p>
      <w:pPr>
        <w:spacing w:line="360" w:lineRule="auto"/>
        <w:ind w:firstLine="465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2017年10月，教育部发布《中小学综合实践活动课程指导纲要》。《纲要》提出，综合实践活动不同于以往的课外活动，而是要让学生从真实生活和发展需要出发，从生活情境中发现问题，转化为活动主题，通过探究、服务、制作、体验等方式，培养学生综合素质的跨学科实践性课程。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新华重庆小记者组委会，依托已建立的数十所校园记者团、多个课程实践基地，在拥有数十场“重庆骄傲”主题实践活动组织经验基础上，加速完善《小学生媒介素养》课程，深化“小、中、大一体化”课堂形式，以“选题”为导向，让小记者能够做到对选题“准确理解、敏锐把握、有效探究、勇敢呈现”。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欢迎加入“新闻眼光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·灵动成长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”实践成长联盟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1：主题说明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舌尖渝之味·火锅最“德”行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走进德庄火锅做小小美食科学家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u w:val="none"/>
          <w:lang w:val="en-US" w:eastAsia="zh-CN"/>
        </w:rPr>
        <w:t>春节将至，年味之于重庆人也等同于舌尖上的渝味。在气温尚低的春节，家人朋友若能围坐一桌，在麻辣翻腾的火锅中汆烫烹煮营养美味的丰富食材，是对新年中收获富足生活的美好期许，更是对阖家团圆温情时刻的升温加料。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u w:val="none"/>
          <w:lang w:val="en-US" w:eastAsia="zh-CN"/>
        </w:rPr>
        <w:t>如何运用科学技术选材用料？如何将美味与健康进行优化配置？此次，小记者们将化身小小美食科学家，完成一次从普通小吃货到美食科学家的转变！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Part2：参与方式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伙伴同心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·不做孤独的美食家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请小记者从自己所在的学校寻找小伙伴组成实践学习小组</w:t>
      </w:r>
      <w:r>
        <w:rPr>
          <w:rFonts w:hint="eastAsia" w:ascii="微软雅黑" w:hAnsi="微软雅黑" w:eastAsia="微软雅黑"/>
          <w:sz w:val="24"/>
          <w:u w:val="none"/>
        </w:rPr>
        <w:t>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小组成员不限</w:t>
      </w:r>
      <w:r>
        <w:rPr>
          <w:rFonts w:hint="eastAsia" w:ascii="微软雅黑" w:hAnsi="微软雅黑" w:eastAsia="微软雅黑"/>
          <w:sz w:val="24"/>
          <w:u w:val="none"/>
        </w:rPr>
        <w:t>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组长必须为新华重庆小记者</w:t>
      </w:r>
      <w:r>
        <w:rPr>
          <w:rFonts w:hint="eastAsia" w:ascii="微软雅黑" w:hAnsi="微软雅黑" w:eastAsia="微软雅黑"/>
          <w:sz w:val="24"/>
          <w:u w:val="none"/>
        </w:rPr>
        <w:t>（应、往届小记者均可）。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悄悄话：如果由于种种原因你没有找到组队的小伙伴，一个人也可以放马过来！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准备一碟思考的开胃菜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1、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重庆人的春节滋味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重庆人在传统春节中最钟爱的美食是什么？重庆人是否会将热气腾腾的火锅作为除夕夜的年夜饭？关于重庆人春节的饮食习俗，你了解多少呢？</w:t>
      </w:r>
      <w:r>
        <w:rPr>
          <w:rFonts w:hint="eastAsia" w:ascii="微软雅黑" w:hAnsi="微软雅黑" w:eastAsia="微软雅黑"/>
          <w:sz w:val="24"/>
          <w:u w:val="none"/>
        </w:rPr>
        <w:t>只要你感兴趣，都可以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通过网络、书籍、视频等渠道提前收集关于重庆人春节饮食文化以及火锅的相关内容，</w:t>
      </w:r>
      <w:r>
        <w:rPr>
          <w:rFonts w:hint="eastAsia" w:ascii="微软雅黑" w:hAnsi="微软雅黑" w:eastAsia="微软雅黑"/>
          <w:sz w:val="24"/>
          <w:u w:val="none"/>
        </w:rPr>
        <w:t>填写在活动手册“我为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sz w:val="24"/>
          <w:u w:val="none"/>
        </w:rPr>
        <w:t xml:space="preserve">做准备”栏目中！ </w:t>
      </w:r>
    </w:p>
    <w:p>
      <w:pPr>
        <w:numPr>
          <w:ilvl w:val="0"/>
          <w:numId w:val="3"/>
        </w:num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美味健康的火锅盛宴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1月23日，小记者将走进重庆火锅行业领跑者——德庄火锅，化身小小美食科学家，一同走近发现火锅中的科学奥秘，为全家人春节期间的火锅宴做准备！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乐学善思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·不虚此行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你需要通过一系列的观察、探究、体验、采访，收集整理信息</w:t>
      </w:r>
      <w:r>
        <w:rPr>
          <w:rFonts w:hint="eastAsia" w:ascii="微软雅黑" w:hAnsi="微软雅黑" w:eastAsia="微软雅黑"/>
          <w:sz w:val="24"/>
          <w:u w:val="none"/>
        </w:rPr>
        <w:t>完成你的《综合实践手册》，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以此记录并传播舌尖渝味之最的火锅究竟如何包容了美味与健康，用你们的所见所闻及真实感受传播重庆人的春节火锅文化！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悄悄话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：请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你认真如实地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填写活动手册上的全部内容，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用心记录活动中有意义的点点滴滴，处处留心皆学问哦！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Part3：我的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历程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组长姓名：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小组成员：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5" w:hRule="atLeast"/>
        </w:trPr>
        <w:tc>
          <w:tcPr>
            <w:tcW w:w="193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我为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探究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做准备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★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背景资料收集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（关于重庆火锅味觉特点及健康理念）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人体为什么能够感受到辣味？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2.人所能承受的最辣程度该怎么表述或形容？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3.春节期间吃火锅与平时吃火锅有何不同？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4.如何检验吃火锅所使用的毛肚是否新鲜、安全？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5.对于身体不适不能吃辣但又喜欢红汤火锅的人，该怎么办呢？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6.重庆人春节期间的饮食习俗是什么呢？</w:t>
            </w:r>
          </w:p>
          <w:p>
            <w:pPr>
              <w:spacing w:line="360" w:lineRule="auto"/>
              <w:jc w:val="righ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感兴趣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的问题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1、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2、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3、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6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我的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实践小记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时间：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地点：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你在企业展厅及生产线上观察到了哪些特别之处？（可以是人物、事物、环境......）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什么是“李氏辣度”？概括一下。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3.“德庄三宝”是哪三个宝贝？它们的宝贵之处是什么？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4.为了保证毛肚的健康与口感，科研人员采用了什么技术？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5.德庄火锅中的每种食物都有“身份证”，是什么意思呢？有什么重要意义呢？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6.为你的家人制定一份健康美味的火锅年夜饭菜单吧！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我们的探究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结论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ind w:firstLine="240" w:firstLineChars="100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成果展示形态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发布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体验感受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：用文字记录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本次综合实践课程，作文新闻均可，要求内容真实及时上传，将择优在新华网发布。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Part4：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关于自己的新发现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小朋友们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，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通过本次的实践探究活动，你一定对德庄火锅的“好料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·好味道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”有了更加直观的感受，从一片爽脆鲜嫩的毛肚、一锅青藏牦牛油、印度魔鬼椒炒制的锅底、一碗云南哀牢山野生菌慢炖出的德庄汤中，你一定能感受到健康与美味兼得的火锅，是来自烹调者专业、科学、严谨的态度！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都说火锅是重庆人舌尖上的美味嘉年华，如果能在春节期间将团圆、健康、美味一起翻滚在热辣的火锅中，来年的生活一定也会像它一样红红火火！火锅，是重庆人别具一格的年味！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4EF5"/>
    <w:multiLevelType w:val="singleLevel"/>
    <w:tmpl w:val="59FC4E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FC57F6"/>
    <w:multiLevelType w:val="singleLevel"/>
    <w:tmpl w:val="59FC5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3A30AB"/>
    <w:multiLevelType w:val="singleLevel"/>
    <w:tmpl w:val="5A3A30AB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A3A791F"/>
    <w:multiLevelType w:val="singleLevel"/>
    <w:tmpl w:val="5A3A791F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609B08"/>
    <w:multiLevelType w:val="singleLevel"/>
    <w:tmpl w:val="5A609B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2FB1"/>
    <w:rsid w:val="00023AB4"/>
    <w:rsid w:val="00036206"/>
    <w:rsid w:val="0004518F"/>
    <w:rsid w:val="00077C66"/>
    <w:rsid w:val="00097AB8"/>
    <w:rsid w:val="000B437A"/>
    <w:rsid w:val="000D0A9F"/>
    <w:rsid w:val="000D3D53"/>
    <w:rsid w:val="000E298D"/>
    <w:rsid w:val="000E5601"/>
    <w:rsid w:val="00101246"/>
    <w:rsid w:val="00151974"/>
    <w:rsid w:val="001833C7"/>
    <w:rsid w:val="00184823"/>
    <w:rsid w:val="001A0071"/>
    <w:rsid w:val="001B1FA7"/>
    <w:rsid w:val="001C0760"/>
    <w:rsid w:val="002005F5"/>
    <w:rsid w:val="00235514"/>
    <w:rsid w:val="00263AEF"/>
    <w:rsid w:val="00263D51"/>
    <w:rsid w:val="00270C41"/>
    <w:rsid w:val="00270CFC"/>
    <w:rsid w:val="00282405"/>
    <w:rsid w:val="002B4321"/>
    <w:rsid w:val="002C6885"/>
    <w:rsid w:val="002D2F8D"/>
    <w:rsid w:val="003105D9"/>
    <w:rsid w:val="00351CF6"/>
    <w:rsid w:val="003A2520"/>
    <w:rsid w:val="00410B51"/>
    <w:rsid w:val="00412F87"/>
    <w:rsid w:val="004312FD"/>
    <w:rsid w:val="0047319D"/>
    <w:rsid w:val="00477A32"/>
    <w:rsid w:val="004A5A5E"/>
    <w:rsid w:val="004E006C"/>
    <w:rsid w:val="004E1F95"/>
    <w:rsid w:val="00503265"/>
    <w:rsid w:val="0051153B"/>
    <w:rsid w:val="005A4251"/>
    <w:rsid w:val="006056E1"/>
    <w:rsid w:val="00613CB4"/>
    <w:rsid w:val="006801C5"/>
    <w:rsid w:val="006C316E"/>
    <w:rsid w:val="006C46D4"/>
    <w:rsid w:val="006F12DB"/>
    <w:rsid w:val="006F7F34"/>
    <w:rsid w:val="00721F4F"/>
    <w:rsid w:val="0075638A"/>
    <w:rsid w:val="0077662E"/>
    <w:rsid w:val="0078418E"/>
    <w:rsid w:val="0079752D"/>
    <w:rsid w:val="007D12B6"/>
    <w:rsid w:val="007D173D"/>
    <w:rsid w:val="007D24CC"/>
    <w:rsid w:val="008224C7"/>
    <w:rsid w:val="00836370"/>
    <w:rsid w:val="0084550A"/>
    <w:rsid w:val="0085427E"/>
    <w:rsid w:val="00886B6E"/>
    <w:rsid w:val="008B61C3"/>
    <w:rsid w:val="008E3A01"/>
    <w:rsid w:val="009013A5"/>
    <w:rsid w:val="00911F72"/>
    <w:rsid w:val="0094206B"/>
    <w:rsid w:val="009518E5"/>
    <w:rsid w:val="00977E07"/>
    <w:rsid w:val="009858CE"/>
    <w:rsid w:val="009B4F39"/>
    <w:rsid w:val="009F23A6"/>
    <w:rsid w:val="00A21A47"/>
    <w:rsid w:val="00A47990"/>
    <w:rsid w:val="00A5555D"/>
    <w:rsid w:val="00A91441"/>
    <w:rsid w:val="00AA35AE"/>
    <w:rsid w:val="00AB6456"/>
    <w:rsid w:val="00AC4653"/>
    <w:rsid w:val="00AD0186"/>
    <w:rsid w:val="00AD57AE"/>
    <w:rsid w:val="00B23867"/>
    <w:rsid w:val="00B4475C"/>
    <w:rsid w:val="00B45214"/>
    <w:rsid w:val="00B45FF8"/>
    <w:rsid w:val="00B5792C"/>
    <w:rsid w:val="00BF4A4B"/>
    <w:rsid w:val="00BF7DD0"/>
    <w:rsid w:val="00C10D8C"/>
    <w:rsid w:val="00C26D9F"/>
    <w:rsid w:val="00C4776D"/>
    <w:rsid w:val="00C51829"/>
    <w:rsid w:val="00C57B79"/>
    <w:rsid w:val="00C76D93"/>
    <w:rsid w:val="00CD3F20"/>
    <w:rsid w:val="00CE20F2"/>
    <w:rsid w:val="00D34920"/>
    <w:rsid w:val="00D8649B"/>
    <w:rsid w:val="00D951D5"/>
    <w:rsid w:val="00DC0F01"/>
    <w:rsid w:val="00DC3675"/>
    <w:rsid w:val="00DC3797"/>
    <w:rsid w:val="00DD2512"/>
    <w:rsid w:val="00DE1004"/>
    <w:rsid w:val="00E019D4"/>
    <w:rsid w:val="00E43942"/>
    <w:rsid w:val="00E65476"/>
    <w:rsid w:val="00E81FB7"/>
    <w:rsid w:val="00EB39DE"/>
    <w:rsid w:val="00EE0B61"/>
    <w:rsid w:val="00EF3868"/>
    <w:rsid w:val="00F25BD4"/>
    <w:rsid w:val="00F561D1"/>
    <w:rsid w:val="00F65BBA"/>
    <w:rsid w:val="00FB2712"/>
    <w:rsid w:val="01F707BD"/>
    <w:rsid w:val="0E5D5563"/>
    <w:rsid w:val="11551716"/>
    <w:rsid w:val="15B54B81"/>
    <w:rsid w:val="178E2902"/>
    <w:rsid w:val="2E693482"/>
    <w:rsid w:val="34077ACB"/>
    <w:rsid w:val="42A3704D"/>
    <w:rsid w:val="4F142A14"/>
    <w:rsid w:val="618D68C5"/>
    <w:rsid w:val="618E2FB1"/>
    <w:rsid w:val="64C31F95"/>
    <w:rsid w:val="66CC11EA"/>
    <w:rsid w:val="6E8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348</Words>
  <Characters>1988</Characters>
  <Lines>16</Lines>
  <Paragraphs>4</Paragraphs>
  <ScaleCrop>false</ScaleCrop>
  <LinksUpToDate>false</LinksUpToDate>
  <CharactersWithSpaces>2332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2017-11-02T09:55:00Z</dcterms:created>
  <dc:creator>Administrator</dc:creator>
  <cp:lastModifiedBy>Administrator</cp:lastModifiedBy>
  <dcterms:modified xsi:type="dcterms:W3CDTF">2018-01-18T12:37:29Z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